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C68BC" w14:textId="04A8716A" w:rsidR="006D5ECE" w:rsidRDefault="001D3218">
      <w:pPr>
        <w:rPr>
          <w:rStyle w:val="DUPLEX"/>
          <w:rFonts w:ascii="Arial Narrow" w:eastAsiaTheme="majorEastAsia" w:hAnsi="Arial Narrow"/>
          <w:bCs/>
          <w:sz w:val="24"/>
        </w:rPr>
      </w:pPr>
      <w:r w:rsidRPr="001D3218">
        <w:rPr>
          <w:b/>
          <w:bCs/>
        </w:rPr>
        <w:t>Project Name:</w:t>
      </w:r>
      <w:r>
        <w:t xml:space="preserve"> </w:t>
      </w:r>
      <w:r w:rsidRPr="00F870E0">
        <w:rPr>
          <w:rStyle w:val="DUPLEX"/>
          <w:rFonts w:ascii="Arial Narrow" w:eastAsiaTheme="majorEastAsia" w:hAnsi="Arial Narrow"/>
          <w:bCs/>
          <w:sz w:val="24"/>
        </w:rPr>
        <w:t>GIS mapping for Puri City focusing on updating existing GIS databases and developing core thematic layers to support City Health Action Plan (CHAP) implementation using secondary datasets for urban health planning, sanitation infrastructure visualization, basic disaster preparedness, and situational analysis.</w:t>
      </w:r>
    </w:p>
    <w:p w14:paraId="756D3B3C" w14:textId="77777777" w:rsidR="001D3218" w:rsidRPr="00F870E0" w:rsidRDefault="001D3218" w:rsidP="001D3218">
      <w:pPr>
        <w:spacing w:line="276" w:lineRule="auto"/>
        <w:jc w:val="both"/>
        <w:rPr>
          <w:rFonts w:ascii="Arial Narrow" w:hAnsi="Arial Narrow"/>
          <w:b/>
        </w:rPr>
      </w:pPr>
      <w:r w:rsidRPr="00F870E0">
        <w:rPr>
          <w:rFonts w:ascii="Arial Narrow" w:hAnsi="Arial Narrow"/>
          <w:b/>
        </w:rPr>
        <w:t>Project specifications</w:t>
      </w:r>
    </w:p>
    <w:p w14:paraId="7A866A4C" w14:textId="77777777" w:rsidR="001D3218" w:rsidRPr="00F870E0" w:rsidRDefault="001D3218" w:rsidP="001D3218">
      <w:pPr>
        <w:spacing w:line="276" w:lineRule="auto"/>
        <w:jc w:val="both"/>
        <w:rPr>
          <w:rFonts w:ascii="Arial Narrow" w:hAnsi="Arial Narrow"/>
          <w:bCs/>
        </w:rPr>
      </w:pPr>
      <w:r w:rsidRPr="00F870E0">
        <w:rPr>
          <w:rFonts w:ascii="Arial Narrow" w:hAnsi="Arial Narrow"/>
          <w:bCs/>
        </w:rPr>
        <w:t>Puri, a major coastal and pilgrimage city in Odisha, faces distinct urban health challenges shaped by its dense population of about 291,000 across 32 wards, rapid urbanization, large daily tourist inflow, and high environmental vulnerability. The city receives around 25,000 visitors daily, rising to 500,000–700,000 during festivals like Rath Yatra, putting immense pressure on sanitation, water supply, and healthcare systems. Informal settlements and many households still lack safe sanitation, with insanitary toilets, poor waste disposal, and limited sewer connectivity contributing to recurring waterborne diseases, while high groundwater levels worsen septage management risks. Solid and liquid waste management remain critical concerns due to inadequate collection, public participation issues, and frequent dumping, further compounded by tourism-driven waste and temporary settlements. Additionally, Puri’s coastal location makes it highly susceptible to cyclones, flooding, and seasonal spikes in vector-borne and communicable diseases, underscoring the urgent need to climate-proof essential health infrastructure and services.</w:t>
      </w:r>
    </w:p>
    <w:p w14:paraId="11A8EF68" w14:textId="77777777" w:rsidR="001D3218" w:rsidRPr="00F870E0" w:rsidRDefault="001D3218" w:rsidP="001D3218">
      <w:pPr>
        <w:spacing w:line="276" w:lineRule="auto"/>
        <w:jc w:val="both"/>
        <w:rPr>
          <w:rFonts w:ascii="Arial Narrow" w:hAnsi="Arial Narrow"/>
          <w:bCs/>
        </w:rPr>
      </w:pPr>
    </w:p>
    <w:p w14:paraId="18F51DC2" w14:textId="77777777" w:rsidR="001D3218" w:rsidRPr="00F870E0" w:rsidRDefault="001D3218" w:rsidP="001D3218">
      <w:pPr>
        <w:spacing w:line="276" w:lineRule="auto"/>
        <w:jc w:val="both"/>
        <w:rPr>
          <w:rFonts w:ascii="Arial Narrow" w:hAnsi="Arial Narrow"/>
          <w:bCs/>
        </w:rPr>
      </w:pPr>
      <w:r w:rsidRPr="00F870E0">
        <w:rPr>
          <w:rFonts w:ascii="Arial Narrow" w:hAnsi="Arial Narrow"/>
          <w:bCs/>
        </w:rPr>
        <w:t xml:space="preserve">In this context, PATH, with support from the Asian Development Bank (ADB), is developing a City Health Action Plan (CHAP) for Puri, Odisha to strengthen urban health systems and guide coordinated action across government departments and stakeholders. CHAP aims to serve as a strategic blueprint that identifies priority health needs, maps service and infrastructure gaps, and proposes actionable, multi-sectoral interventions. It will integrate themes such as service delivery improvement, community engagement, digital health innovations, climate and disaster resilience, and governance strengthening. The plan is envisioned to support the city administration in making data-driven decisions, enhancing resource alignment, and improving accountability mechanisms. </w:t>
      </w:r>
    </w:p>
    <w:p w14:paraId="0E835F11" w14:textId="77777777" w:rsidR="001D3218" w:rsidRPr="00F870E0" w:rsidRDefault="001D3218" w:rsidP="001D3218">
      <w:pPr>
        <w:shd w:val="clear" w:color="auto" w:fill="FFFFFF"/>
        <w:autoSpaceDE w:val="0"/>
        <w:autoSpaceDN w:val="0"/>
        <w:spacing w:before="61" w:line="276" w:lineRule="auto"/>
        <w:jc w:val="both"/>
        <w:rPr>
          <w:rFonts w:ascii="Arial Narrow" w:hAnsi="Arial Narrow"/>
          <w:b/>
          <w:bCs/>
          <w:color w:val="1F1F1F"/>
        </w:rPr>
      </w:pPr>
    </w:p>
    <w:p w14:paraId="60E2BC81" w14:textId="77777777" w:rsidR="001D3218" w:rsidRPr="006D6EBD" w:rsidRDefault="001D3218" w:rsidP="001D3218">
      <w:pPr>
        <w:shd w:val="clear" w:color="auto" w:fill="FFFFFF"/>
        <w:autoSpaceDE w:val="0"/>
        <w:autoSpaceDN w:val="0"/>
        <w:spacing w:before="61" w:line="276" w:lineRule="auto"/>
        <w:jc w:val="both"/>
        <w:rPr>
          <w:rFonts w:ascii="Arial Narrow" w:hAnsi="Arial Narrow"/>
          <w:b/>
          <w:bCs/>
          <w:color w:val="1F1F1F"/>
        </w:rPr>
      </w:pPr>
      <w:r w:rsidRPr="006D6EBD">
        <w:rPr>
          <w:rFonts w:ascii="Arial Narrow" w:hAnsi="Arial Narrow"/>
          <w:b/>
          <w:bCs/>
          <w:color w:val="1F1F1F"/>
        </w:rPr>
        <w:t>Aim of the Assignment</w:t>
      </w:r>
    </w:p>
    <w:p w14:paraId="75669CF1" w14:textId="77777777" w:rsidR="001D3218" w:rsidRPr="006D6EBD" w:rsidRDefault="001D3218" w:rsidP="001D3218">
      <w:pPr>
        <w:spacing w:line="276" w:lineRule="auto"/>
        <w:jc w:val="both"/>
        <w:rPr>
          <w:rFonts w:ascii="Arial Narrow" w:hAnsi="Arial Narrow"/>
          <w:bCs/>
        </w:rPr>
      </w:pPr>
      <w:r w:rsidRPr="006D6EBD">
        <w:rPr>
          <w:rFonts w:ascii="Arial Narrow" w:hAnsi="Arial Narrow"/>
          <w:bCs/>
        </w:rPr>
        <w:t>The objective of this assignment is to update and consolidate existing GIS layers and develop a core GIS database for Puri City aligned with CHAP requirements. The focus is to establish a functional GIS foundation using available secondary data for administrative planning, health infrastructure mapping, population distribution, sanitation infrastructure, environmental risk context, basic disaster preparedness, and simplified disease incidence visualization.</w:t>
      </w:r>
    </w:p>
    <w:p w14:paraId="7C9FC1F5" w14:textId="77777777" w:rsidR="001D3218" w:rsidRPr="00F870E0" w:rsidRDefault="001D3218" w:rsidP="001D3218">
      <w:pPr>
        <w:shd w:val="clear" w:color="auto" w:fill="FFFFFF"/>
        <w:autoSpaceDE w:val="0"/>
        <w:autoSpaceDN w:val="0"/>
        <w:spacing w:before="61" w:line="276" w:lineRule="auto"/>
        <w:jc w:val="both"/>
        <w:rPr>
          <w:rFonts w:ascii="Arial Narrow" w:hAnsi="Arial Narrow"/>
          <w:b/>
          <w:color w:val="1F1F1F"/>
        </w:rPr>
      </w:pPr>
      <w:r w:rsidRPr="00F870E0">
        <w:rPr>
          <w:rFonts w:ascii="Arial Narrow" w:hAnsi="Arial Narrow"/>
          <w:b/>
          <w:color w:val="1F1F1F"/>
        </w:rPr>
        <w:t xml:space="preserve">Scope of Services: </w:t>
      </w:r>
    </w:p>
    <w:p w14:paraId="17E0D050" w14:textId="77777777" w:rsidR="001D3218" w:rsidRPr="00F870E0" w:rsidRDefault="001D3218" w:rsidP="001D3218">
      <w:pPr>
        <w:shd w:val="clear" w:color="auto" w:fill="FFFFFF"/>
        <w:autoSpaceDE w:val="0"/>
        <w:autoSpaceDN w:val="0"/>
        <w:spacing w:line="276" w:lineRule="auto"/>
        <w:jc w:val="both"/>
        <w:rPr>
          <w:rFonts w:ascii="Arial Narrow" w:hAnsi="Arial Narrow"/>
          <w:bCs/>
          <w:color w:val="1F1F1F"/>
        </w:rPr>
      </w:pPr>
      <w:r w:rsidRPr="00F870E0">
        <w:rPr>
          <w:rFonts w:ascii="Arial Narrow" w:hAnsi="Arial Narrow"/>
          <w:bCs/>
          <w:color w:val="1F1F1F"/>
        </w:rPr>
        <w:t xml:space="preserve">The agency will provide technical support to compile, update, standardize, and organize GIS-based thematic layers for Puri City using secondary data sources, in coordination with PATH, Puri Municipality, health authorities, and DDMA. The key activities are listed in detail below: </w:t>
      </w:r>
    </w:p>
    <w:p w14:paraId="26A44DBA" w14:textId="77777777" w:rsidR="001D3218" w:rsidRPr="00F870E0" w:rsidRDefault="001D3218" w:rsidP="001D3218">
      <w:pPr>
        <w:shd w:val="clear" w:color="auto" w:fill="FFFFFF"/>
        <w:autoSpaceDE w:val="0"/>
        <w:autoSpaceDN w:val="0"/>
        <w:spacing w:line="276" w:lineRule="auto"/>
        <w:jc w:val="both"/>
        <w:rPr>
          <w:rFonts w:ascii="Arial Narrow" w:hAnsi="Arial Narrow"/>
          <w:bCs/>
          <w:color w:val="1F1F1F"/>
        </w:rPr>
      </w:pPr>
    </w:p>
    <w:p w14:paraId="0846A90C" w14:textId="77777777" w:rsidR="001D3218" w:rsidRPr="00F870E0" w:rsidRDefault="001D3218" w:rsidP="001D3218">
      <w:pPr>
        <w:pStyle w:val="ListParagraph"/>
        <w:shd w:val="clear" w:color="auto" w:fill="FFFFFF"/>
        <w:autoSpaceDE w:val="0"/>
        <w:autoSpaceDN w:val="0"/>
        <w:spacing w:after="0" w:line="276" w:lineRule="auto"/>
        <w:ind w:left="360"/>
        <w:jc w:val="both"/>
        <w:rPr>
          <w:rFonts w:ascii="Arial Narrow" w:hAnsi="Arial Narrow"/>
          <w:bCs/>
          <w:color w:val="1F1F1F"/>
        </w:rPr>
      </w:pPr>
      <w:r w:rsidRPr="00F870E0">
        <w:rPr>
          <w:rFonts w:ascii="Arial Narrow" w:hAnsi="Arial Narrow"/>
          <w:b/>
          <w:color w:val="1F1F1F"/>
        </w:rPr>
        <w:t>Data Collection and Compilation</w:t>
      </w:r>
    </w:p>
    <w:p w14:paraId="19CFE7FC" w14:textId="77777777" w:rsidR="001D3218" w:rsidRPr="00F870E0" w:rsidRDefault="001D3218" w:rsidP="001D3218">
      <w:pPr>
        <w:pStyle w:val="ListParagraph"/>
        <w:shd w:val="clear" w:color="auto" w:fill="FFFFFF"/>
        <w:autoSpaceDE w:val="0"/>
        <w:autoSpaceDN w:val="0"/>
        <w:spacing w:line="276" w:lineRule="auto"/>
        <w:ind w:left="360"/>
        <w:jc w:val="both"/>
        <w:rPr>
          <w:rFonts w:ascii="Arial Narrow" w:hAnsi="Arial Narrow"/>
          <w:bCs/>
          <w:color w:val="1F1F1F"/>
        </w:rPr>
      </w:pPr>
      <w:r w:rsidRPr="00F870E0">
        <w:rPr>
          <w:rFonts w:ascii="Arial Narrow" w:hAnsi="Arial Narrow"/>
          <w:bCs/>
          <w:color w:val="1F1F1F"/>
        </w:rPr>
        <w:t>The agency will be responsible for collecting, updating, validating, and organizing spatial datasets required for urban health planning. Key activities include:</w:t>
      </w:r>
    </w:p>
    <w:p w14:paraId="580371FB" w14:textId="77777777" w:rsidR="001D3218" w:rsidRPr="00F870E0" w:rsidRDefault="001D3218" w:rsidP="001D3218">
      <w:pPr>
        <w:pStyle w:val="ListParagraph"/>
        <w:numPr>
          <w:ilvl w:val="0"/>
          <w:numId w:val="2"/>
        </w:numPr>
        <w:shd w:val="clear" w:color="auto" w:fill="FFFFFF"/>
        <w:autoSpaceDE w:val="0"/>
        <w:autoSpaceDN w:val="0"/>
        <w:spacing w:after="0" w:line="276" w:lineRule="auto"/>
        <w:jc w:val="both"/>
        <w:rPr>
          <w:rFonts w:ascii="Arial Narrow" w:hAnsi="Arial Narrow"/>
          <w:bCs/>
          <w:color w:val="1F1F1F"/>
        </w:rPr>
      </w:pPr>
      <w:r w:rsidRPr="00F870E0">
        <w:rPr>
          <w:rFonts w:ascii="Arial Narrow" w:hAnsi="Arial Narrow"/>
          <w:bCs/>
          <w:color w:val="1F1F1F"/>
        </w:rPr>
        <w:t>Review and compile existing GIS shapefiles and datasets previously developed for Puri City</w:t>
      </w:r>
    </w:p>
    <w:p w14:paraId="1738964F" w14:textId="77777777" w:rsidR="001D3218" w:rsidRPr="00F870E0" w:rsidRDefault="001D3218" w:rsidP="001D3218">
      <w:pPr>
        <w:pStyle w:val="ListParagraph"/>
        <w:numPr>
          <w:ilvl w:val="0"/>
          <w:numId w:val="2"/>
        </w:numPr>
        <w:shd w:val="clear" w:color="auto" w:fill="FFFFFF"/>
        <w:autoSpaceDE w:val="0"/>
        <w:autoSpaceDN w:val="0"/>
        <w:spacing w:after="0" w:line="276" w:lineRule="auto"/>
        <w:jc w:val="both"/>
        <w:rPr>
          <w:rFonts w:ascii="Arial Narrow" w:hAnsi="Arial Narrow"/>
          <w:bCs/>
          <w:color w:val="1F1F1F"/>
        </w:rPr>
      </w:pPr>
      <w:r w:rsidRPr="00F870E0">
        <w:rPr>
          <w:rFonts w:ascii="Arial Narrow" w:hAnsi="Arial Narrow"/>
          <w:bCs/>
          <w:color w:val="1F1F1F"/>
        </w:rPr>
        <w:t>Collect secondary datasets from Puri Municipality, Health Department, DDMA, and relevant agencies</w:t>
      </w:r>
    </w:p>
    <w:p w14:paraId="70EB0C4B" w14:textId="77777777" w:rsidR="001D3218" w:rsidRPr="00F870E0" w:rsidRDefault="001D3218" w:rsidP="001D3218">
      <w:pPr>
        <w:pStyle w:val="ListParagraph"/>
        <w:numPr>
          <w:ilvl w:val="0"/>
          <w:numId w:val="2"/>
        </w:numPr>
        <w:shd w:val="clear" w:color="auto" w:fill="FFFFFF"/>
        <w:autoSpaceDE w:val="0"/>
        <w:autoSpaceDN w:val="0"/>
        <w:spacing w:after="0" w:line="276" w:lineRule="auto"/>
        <w:jc w:val="both"/>
        <w:rPr>
          <w:rFonts w:ascii="Arial Narrow" w:hAnsi="Arial Narrow"/>
          <w:bCs/>
          <w:color w:val="1F1F1F"/>
        </w:rPr>
      </w:pPr>
      <w:r w:rsidRPr="00F870E0">
        <w:rPr>
          <w:rFonts w:ascii="Arial Narrow" w:hAnsi="Arial Narrow"/>
          <w:bCs/>
          <w:color w:val="1F1F1F"/>
        </w:rPr>
        <w:t>Clean, standardize, and organize all spatial datasets into a structured GIS database</w:t>
      </w:r>
    </w:p>
    <w:p w14:paraId="044390E9" w14:textId="77777777" w:rsidR="001D3218" w:rsidRPr="00F870E0" w:rsidRDefault="001D3218" w:rsidP="001D3218">
      <w:pPr>
        <w:pStyle w:val="ListParagraph"/>
        <w:shd w:val="clear" w:color="auto" w:fill="FFFFFF"/>
        <w:autoSpaceDE w:val="0"/>
        <w:autoSpaceDN w:val="0"/>
        <w:spacing w:line="276" w:lineRule="auto"/>
        <w:ind w:left="360"/>
        <w:jc w:val="both"/>
        <w:rPr>
          <w:rFonts w:ascii="Arial Narrow" w:hAnsi="Arial Narrow"/>
          <w:bCs/>
          <w:color w:val="1F1F1F"/>
        </w:rPr>
      </w:pPr>
    </w:p>
    <w:p w14:paraId="2F1AF145" w14:textId="77777777" w:rsidR="001D3218" w:rsidRPr="00F870E0" w:rsidRDefault="001D3218" w:rsidP="001D3218">
      <w:pPr>
        <w:pStyle w:val="ListParagraph"/>
        <w:shd w:val="clear" w:color="auto" w:fill="FFFFFF"/>
        <w:autoSpaceDE w:val="0"/>
        <w:autoSpaceDN w:val="0"/>
        <w:spacing w:after="0" w:line="276" w:lineRule="auto"/>
        <w:ind w:left="360"/>
        <w:jc w:val="both"/>
        <w:rPr>
          <w:rFonts w:ascii="Arial Narrow" w:hAnsi="Arial Narrow"/>
          <w:b/>
          <w:color w:val="1F1F1F"/>
        </w:rPr>
      </w:pPr>
      <w:r w:rsidRPr="00F870E0">
        <w:rPr>
          <w:rFonts w:ascii="Arial Narrow" w:hAnsi="Arial Narrow"/>
          <w:b/>
          <w:color w:val="1F1F1F"/>
        </w:rPr>
        <w:t>GIS database development and thematic mapping</w:t>
      </w:r>
    </w:p>
    <w:p w14:paraId="37A6A781" w14:textId="77777777" w:rsidR="001D3218" w:rsidRDefault="001D3218" w:rsidP="001D3218">
      <w:pPr>
        <w:pStyle w:val="ListParagraph"/>
        <w:shd w:val="clear" w:color="auto" w:fill="FFFFFF"/>
        <w:autoSpaceDE w:val="0"/>
        <w:autoSpaceDN w:val="0"/>
        <w:spacing w:before="240" w:after="240" w:line="276" w:lineRule="auto"/>
        <w:ind w:left="360"/>
        <w:jc w:val="both"/>
        <w:rPr>
          <w:rFonts w:ascii="Arial Narrow" w:hAnsi="Arial Narrow"/>
          <w:bCs/>
          <w:color w:val="1F1F1F"/>
        </w:rPr>
      </w:pPr>
      <w:r w:rsidRPr="00F870E0">
        <w:rPr>
          <w:rFonts w:ascii="Arial Narrow" w:hAnsi="Arial Narrow"/>
          <w:bCs/>
          <w:color w:val="1F1F1F"/>
        </w:rPr>
        <w:t xml:space="preserve">Agency will use appropriate open-source GIS software, the agency will develop a sustainable geospatial database to support planning by health, municipal, and disaster management authorities. This will include </w:t>
      </w:r>
      <w:r>
        <w:rPr>
          <w:rFonts w:ascii="Arial Narrow" w:hAnsi="Arial Narrow"/>
          <w:bCs/>
          <w:color w:val="1F1F1F"/>
        </w:rPr>
        <w:t xml:space="preserve">following </w:t>
      </w:r>
      <w:r w:rsidRPr="00F870E0">
        <w:rPr>
          <w:rFonts w:ascii="Arial Narrow" w:hAnsi="Arial Narrow"/>
          <w:bCs/>
          <w:color w:val="1F1F1F"/>
        </w:rPr>
        <w:t xml:space="preserve">key </w:t>
      </w:r>
      <w:proofErr w:type="spellStart"/>
      <w:r>
        <w:rPr>
          <w:rFonts w:ascii="Arial Narrow" w:hAnsi="Arial Narrow"/>
          <w:bCs/>
          <w:color w:val="1F1F1F"/>
        </w:rPr>
        <w:t>layers</w:t>
      </w:r>
      <w:proofErr w:type="spellEnd"/>
      <w:r w:rsidRPr="00F870E0">
        <w:rPr>
          <w:rFonts w:ascii="Arial Narrow" w:hAnsi="Arial Narrow"/>
          <w:bCs/>
          <w:color w:val="1F1F1F"/>
        </w:rPr>
        <w:t xml:space="preserve">: </w:t>
      </w:r>
    </w:p>
    <w:tbl>
      <w:tblPr>
        <w:tblW w:w="9265" w:type="dxa"/>
        <w:tblInd w:w="355" w:type="dxa"/>
        <w:tblLook w:val="04A0" w:firstRow="1" w:lastRow="0" w:firstColumn="1" w:lastColumn="0" w:noHBand="0" w:noVBand="1"/>
      </w:tblPr>
      <w:tblGrid>
        <w:gridCol w:w="4770"/>
        <w:gridCol w:w="4495"/>
      </w:tblGrid>
      <w:tr w:rsidR="001D3218" w:rsidRPr="000324EA" w14:paraId="3CE28481" w14:textId="77777777" w:rsidTr="00B660E3">
        <w:trPr>
          <w:trHeight w:val="310"/>
        </w:trPr>
        <w:tc>
          <w:tcPr>
            <w:tcW w:w="4770" w:type="dxa"/>
            <w:tcBorders>
              <w:top w:val="single" w:sz="4" w:space="0" w:color="auto"/>
              <w:left w:val="single" w:sz="4" w:space="0" w:color="auto"/>
              <w:bottom w:val="single" w:sz="4" w:space="0" w:color="auto"/>
              <w:right w:val="single" w:sz="4" w:space="0" w:color="auto"/>
            </w:tcBorders>
            <w:noWrap/>
            <w:vAlign w:val="center"/>
            <w:hideMark/>
          </w:tcPr>
          <w:p w14:paraId="0F74C5A0" w14:textId="77777777" w:rsidR="001D3218" w:rsidRPr="000324EA" w:rsidRDefault="001D3218" w:rsidP="00B660E3">
            <w:pPr>
              <w:jc w:val="both"/>
              <w:rPr>
                <w:rFonts w:ascii="Arial Narrow" w:hAnsi="Arial Narrow"/>
                <w:color w:val="1F1F1F"/>
              </w:rPr>
            </w:pPr>
            <w:r w:rsidRPr="000324EA">
              <w:rPr>
                <w:rFonts w:ascii="Arial Narrow" w:hAnsi="Arial Narrow"/>
                <w:color w:val="1F1F1F"/>
              </w:rPr>
              <w:t>Road network</w:t>
            </w:r>
          </w:p>
        </w:tc>
        <w:tc>
          <w:tcPr>
            <w:tcW w:w="4495" w:type="dxa"/>
            <w:tcBorders>
              <w:top w:val="single" w:sz="4" w:space="0" w:color="auto"/>
              <w:left w:val="nil"/>
              <w:bottom w:val="single" w:sz="4" w:space="0" w:color="auto"/>
              <w:right w:val="single" w:sz="4" w:space="0" w:color="auto"/>
            </w:tcBorders>
            <w:noWrap/>
            <w:vAlign w:val="center"/>
            <w:hideMark/>
          </w:tcPr>
          <w:p w14:paraId="0DCE42BA" w14:textId="77777777" w:rsidR="001D3218" w:rsidRPr="000324EA" w:rsidRDefault="001D3218" w:rsidP="00B660E3">
            <w:pPr>
              <w:jc w:val="both"/>
              <w:rPr>
                <w:rFonts w:ascii="Arial Narrow" w:hAnsi="Arial Narrow"/>
                <w:color w:val="1F1F1F"/>
              </w:rPr>
            </w:pPr>
            <w:r w:rsidRPr="000324EA">
              <w:rPr>
                <w:rFonts w:ascii="Arial Narrow" w:hAnsi="Arial Narrow"/>
                <w:color w:val="1F1F1F"/>
              </w:rPr>
              <w:t>Sanitation facilities (community toilets)</w:t>
            </w:r>
          </w:p>
        </w:tc>
      </w:tr>
      <w:tr w:rsidR="001D3218" w:rsidRPr="000324EA" w14:paraId="5DB3A5B8" w14:textId="77777777" w:rsidTr="00B660E3">
        <w:trPr>
          <w:trHeight w:val="310"/>
        </w:trPr>
        <w:tc>
          <w:tcPr>
            <w:tcW w:w="4770" w:type="dxa"/>
            <w:tcBorders>
              <w:top w:val="nil"/>
              <w:left w:val="single" w:sz="4" w:space="0" w:color="auto"/>
              <w:bottom w:val="single" w:sz="4" w:space="0" w:color="auto"/>
              <w:right w:val="single" w:sz="4" w:space="0" w:color="auto"/>
            </w:tcBorders>
            <w:noWrap/>
            <w:vAlign w:val="center"/>
            <w:hideMark/>
          </w:tcPr>
          <w:p w14:paraId="590225C6" w14:textId="77777777" w:rsidR="001D3218" w:rsidRPr="000324EA" w:rsidRDefault="001D3218" w:rsidP="00B660E3">
            <w:pPr>
              <w:jc w:val="both"/>
              <w:rPr>
                <w:rFonts w:ascii="Arial Narrow" w:hAnsi="Arial Narrow"/>
                <w:color w:val="1F1F1F"/>
              </w:rPr>
            </w:pPr>
            <w:r w:rsidRPr="000324EA">
              <w:rPr>
                <w:rFonts w:ascii="Arial Narrow" w:hAnsi="Arial Narrow"/>
                <w:color w:val="1F1F1F"/>
              </w:rPr>
              <w:t>Population Density</w:t>
            </w:r>
          </w:p>
        </w:tc>
        <w:tc>
          <w:tcPr>
            <w:tcW w:w="4495" w:type="dxa"/>
            <w:tcBorders>
              <w:top w:val="nil"/>
              <w:left w:val="nil"/>
              <w:bottom w:val="single" w:sz="4" w:space="0" w:color="auto"/>
              <w:right w:val="single" w:sz="4" w:space="0" w:color="auto"/>
            </w:tcBorders>
            <w:noWrap/>
            <w:vAlign w:val="center"/>
            <w:hideMark/>
          </w:tcPr>
          <w:p w14:paraId="426FFFC3" w14:textId="77777777" w:rsidR="001D3218" w:rsidRPr="000324EA" w:rsidRDefault="001D3218" w:rsidP="00B660E3">
            <w:pPr>
              <w:jc w:val="both"/>
              <w:rPr>
                <w:rFonts w:ascii="Arial Narrow" w:hAnsi="Arial Narrow"/>
                <w:color w:val="1F1F1F"/>
              </w:rPr>
            </w:pPr>
            <w:r w:rsidRPr="000324EA">
              <w:rPr>
                <w:rFonts w:ascii="Arial Narrow" w:hAnsi="Arial Narrow"/>
                <w:color w:val="1F1F1F"/>
              </w:rPr>
              <w:t>Multipurpose cyclone shelters</w:t>
            </w:r>
          </w:p>
        </w:tc>
      </w:tr>
      <w:tr w:rsidR="001D3218" w:rsidRPr="000324EA" w14:paraId="388AFCCF" w14:textId="77777777" w:rsidTr="00B660E3">
        <w:trPr>
          <w:trHeight w:val="310"/>
        </w:trPr>
        <w:tc>
          <w:tcPr>
            <w:tcW w:w="4770" w:type="dxa"/>
            <w:tcBorders>
              <w:top w:val="nil"/>
              <w:left w:val="single" w:sz="4" w:space="0" w:color="auto"/>
              <w:bottom w:val="single" w:sz="4" w:space="0" w:color="auto"/>
              <w:right w:val="single" w:sz="4" w:space="0" w:color="auto"/>
            </w:tcBorders>
            <w:noWrap/>
            <w:vAlign w:val="center"/>
            <w:hideMark/>
          </w:tcPr>
          <w:p w14:paraId="4FE9616E" w14:textId="77777777" w:rsidR="001D3218" w:rsidRPr="000324EA" w:rsidRDefault="001D3218" w:rsidP="00B660E3">
            <w:pPr>
              <w:jc w:val="both"/>
              <w:rPr>
                <w:rFonts w:ascii="Arial Narrow" w:hAnsi="Arial Narrow"/>
                <w:color w:val="1F1F1F"/>
              </w:rPr>
            </w:pPr>
            <w:r w:rsidRPr="000324EA">
              <w:rPr>
                <w:rFonts w:ascii="Arial Narrow" w:hAnsi="Arial Narrow"/>
                <w:color w:val="1F1F1F"/>
              </w:rPr>
              <w:t>Infectious disease hospital (IDH)</w:t>
            </w:r>
          </w:p>
        </w:tc>
        <w:tc>
          <w:tcPr>
            <w:tcW w:w="4495" w:type="dxa"/>
            <w:tcBorders>
              <w:top w:val="nil"/>
              <w:left w:val="nil"/>
              <w:bottom w:val="single" w:sz="4" w:space="0" w:color="auto"/>
              <w:right w:val="single" w:sz="4" w:space="0" w:color="auto"/>
            </w:tcBorders>
            <w:noWrap/>
            <w:vAlign w:val="center"/>
            <w:hideMark/>
          </w:tcPr>
          <w:p w14:paraId="474B8DC8" w14:textId="77777777" w:rsidR="001D3218" w:rsidRPr="000324EA" w:rsidRDefault="001D3218" w:rsidP="00B660E3">
            <w:pPr>
              <w:jc w:val="both"/>
              <w:rPr>
                <w:rFonts w:ascii="Arial Narrow" w:hAnsi="Arial Narrow"/>
                <w:color w:val="1F1F1F"/>
              </w:rPr>
            </w:pPr>
            <w:r w:rsidRPr="000324EA">
              <w:rPr>
                <w:rFonts w:ascii="Arial Narrow" w:hAnsi="Arial Narrow"/>
                <w:color w:val="1F1F1F"/>
              </w:rPr>
              <w:t>Flood shelters</w:t>
            </w:r>
          </w:p>
        </w:tc>
      </w:tr>
      <w:tr w:rsidR="001D3218" w:rsidRPr="000324EA" w14:paraId="791F4556" w14:textId="77777777" w:rsidTr="00B660E3">
        <w:trPr>
          <w:trHeight w:val="310"/>
        </w:trPr>
        <w:tc>
          <w:tcPr>
            <w:tcW w:w="4770" w:type="dxa"/>
            <w:tcBorders>
              <w:top w:val="nil"/>
              <w:left w:val="single" w:sz="4" w:space="0" w:color="auto"/>
              <w:bottom w:val="single" w:sz="4" w:space="0" w:color="auto"/>
              <w:right w:val="single" w:sz="4" w:space="0" w:color="auto"/>
            </w:tcBorders>
            <w:noWrap/>
            <w:vAlign w:val="center"/>
            <w:hideMark/>
          </w:tcPr>
          <w:p w14:paraId="47117228" w14:textId="77777777" w:rsidR="001D3218" w:rsidRPr="000324EA" w:rsidRDefault="001D3218" w:rsidP="00B660E3">
            <w:pPr>
              <w:jc w:val="both"/>
              <w:rPr>
                <w:rFonts w:ascii="Arial Narrow" w:hAnsi="Arial Narrow"/>
                <w:color w:val="1F1F1F"/>
              </w:rPr>
            </w:pPr>
            <w:r w:rsidRPr="000324EA">
              <w:rPr>
                <w:rFonts w:ascii="Arial Narrow" w:hAnsi="Arial Narrow"/>
                <w:color w:val="1F1F1F"/>
              </w:rPr>
              <w:t>Public health facilities</w:t>
            </w:r>
          </w:p>
        </w:tc>
        <w:tc>
          <w:tcPr>
            <w:tcW w:w="4495" w:type="dxa"/>
            <w:tcBorders>
              <w:top w:val="nil"/>
              <w:left w:val="nil"/>
              <w:bottom w:val="single" w:sz="4" w:space="0" w:color="auto"/>
              <w:right w:val="single" w:sz="4" w:space="0" w:color="auto"/>
            </w:tcBorders>
            <w:noWrap/>
            <w:vAlign w:val="center"/>
            <w:hideMark/>
          </w:tcPr>
          <w:p w14:paraId="03554406" w14:textId="77777777" w:rsidR="001D3218" w:rsidRPr="000324EA" w:rsidRDefault="001D3218" w:rsidP="00B660E3">
            <w:pPr>
              <w:jc w:val="both"/>
              <w:rPr>
                <w:rFonts w:ascii="Arial Narrow" w:hAnsi="Arial Narrow"/>
                <w:color w:val="1F1F1F"/>
              </w:rPr>
            </w:pPr>
            <w:r w:rsidRPr="000324EA">
              <w:rPr>
                <w:rFonts w:ascii="Arial Narrow" w:hAnsi="Arial Narrow"/>
                <w:color w:val="1F1F1F"/>
              </w:rPr>
              <w:t>High pilgrim influx zones (rath yatra period)</w:t>
            </w:r>
          </w:p>
        </w:tc>
      </w:tr>
      <w:tr w:rsidR="001D3218" w:rsidRPr="000324EA" w14:paraId="1F48B1AC" w14:textId="77777777" w:rsidTr="00B660E3">
        <w:trPr>
          <w:trHeight w:val="310"/>
        </w:trPr>
        <w:tc>
          <w:tcPr>
            <w:tcW w:w="4770" w:type="dxa"/>
            <w:tcBorders>
              <w:top w:val="nil"/>
              <w:left w:val="single" w:sz="4" w:space="0" w:color="auto"/>
              <w:bottom w:val="single" w:sz="4" w:space="0" w:color="auto"/>
              <w:right w:val="single" w:sz="4" w:space="0" w:color="auto"/>
            </w:tcBorders>
            <w:noWrap/>
            <w:vAlign w:val="center"/>
            <w:hideMark/>
          </w:tcPr>
          <w:p w14:paraId="3FB3E610" w14:textId="77777777" w:rsidR="001D3218" w:rsidRPr="000324EA" w:rsidRDefault="001D3218" w:rsidP="00B660E3">
            <w:pPr>
              <w:jc w:val="both"/>
              <w:rPr>
                <w:rFonts w:ascii="Arial Narrow" w:hAnsi="Arial Narrow"/>
                <w:color w:val="1F1F1F"/>
              </w:rPr>
            </w:pPr>
            <w:r w:rsidRPr="000324EA">
              <w:rPr>
                <w:rFonts w:ascii="Arial Narrow" w:hAnsi="Arial Narrow"/>
                <w:color w:val="1F1F1F"/>
              </w:rPr>
              <w:t>Private health facilities</w:t>
            </w:r>
          </w:p>
        </w:tc>
        <w:tc>
          <w:tcPr>
            <w:tcW w:w="4495" w:type="dxa"/>
            <w:tcBorders>
              <w:top w:val="nil"/>
              <w:left w:val="nil"/>
              <w:bottom w:val="single" w:sz="4" w:space="0" w:color="auto"/>
              <w:right w:val="single" w:sz="4" w:space="0" w:color="auto"/>
            </w:tcBorders>
            <w:noWrap/>
            <w:vAlign w:val="center"/>
            <w:hideMark/>
          </w:tcPr>
          <w:p w14:paraId="738DBAEB" w14:textId="77777777" w:rsidR="001D3218" w:rsidRPr="000324EA" w:rsidRDefault="001D3218" w:rsidP="00B660E3">
            <w:pPr>
              <w:jc w:val="both"/>
              <w:rPr>
                <w:rFonts w:ascii="Arial Narrow" w:hAnsi="Arial Narrow"/>
                <w:color w:val="1F1F1F"/>
              </w:rPr>
            </w:pPr>
            <w:r w:rsidRPr="000324EA">
              <w:rPr>
                <w:rFonts w:ascii="Arial Narrow" w:hAnsi="Arial Narrow"/>
                <w:color w:val="1F1F1F"/>
              </w:rPr>
              <w:t>Temporary health facility location</w:t>
            </w:r>
          </w:p>
        </w:tc>
      </w:tr>
      <w:tr w:rsidR="001D3218" w:rsidRPr="000324EA" w14:paraId="3C2512CA" w14:textId="77777777" w:rsidTr="00B660E3">
        <w:trPr>
          <w:trHeight w:val="310"/>
        </w:trPr>
        <w:tc>
          <w:tcPr>
            <w:tcW w:w="4770" w:type="dxa"/>
            <w:tcBorders>
              <w:top w:val="nil"/>
              <w:left w:val="single" w:sz="4" w:space="0" w:color="auto"/>
              <w:bottom w:val="single" w:sz="4" w:space="0" w:color="auto"/>
              <w:right w:val="single" w:sz="4" w:space="0" w:color="auto"/>
            </w:tcBorders>
            <w:noWrap/>
            <w:vAlign w:val="center"/>
            <w:hideMark/>
          </w:tcPr>
          <w:p w14:paraId="42D4E754" w14:textId="77777777" w:rsidR="001D3218" w:rsidRPr="000324EA" w:rsidRDefault="001D3218" w:rsidP="00B660E3">
            <w:pPr>
              <w:jc w:val="both"/>
              <w:rPr>
                <w:rFonts w:ascii="Arial Narrow" w:hAnsi="Arial Narrow"/>
                <w:color w:val="1F1F1F"/>
              </w:rPr>
            </w:pPr>
            <w:r w:rsidRPr="000324EA">
              <w:rPr>
                <w:rFonts w:ascii="Arial Narrow" w:hAnsi="Arial Narrow"/>
                <w:color w:val="1F1F1F"/>
              </w:rPr>
              <w:t>Urban health and nutrition day (UHND)</w:t>
            </w:r>
            <w:r>
              <w:rPr>
                <w:rFonts w:ascii="Arial Narrow" w:hAnsi="Arial Narrow"/>
                <w:color w:val="1F1F1F"/>
              </w:rPr>
              <w:t xml:space="preserve"> </w:t>
            </w:r>
            <w:r w:rsidRPr="000324EA">
              <w:rPr>
                <w:rFonts w:ascii="Arial Narrow" w:hAnsi="Arial Narrow"/>
                <w:color w:val="1F1F1F"/>
              </w:rPr>
              <w:t>session sites</w:t>
            </w:r>
          </w:p>
        </w:tc>
        <w:tc>
          <w:tcPr>
            <w:tcW w:w="4495" w:type="dxa"/>
            <w:tcBorders>
              <w:top w:val="nil"/>
              <w:left w:val="nil"/>
              <w:bottom w:val="single" w:sz="4" w:space="0" w:color="auto"/>
              <w:right w:val="single" w:sz="4" w:space="0" w:color="auto"/>
            </w:tcBorders>
            <w:noWrap/>
            <w:vAlign w:val="center"/>
            <w:hideMark/>
          </w:tcPr>
          <w:p w14:paraId="7CBB652B" w14:textId="77777777" w:rsidR="001D3218" w:rsidRPr="000324EA" w:rsidRDefault="001D3218" w:rsidP="00B660E3">
            <w:pPr>
              <w:jc w:val="both"/>
              <w:rPr>
                <w:rFonts w:ascii="Arial Narrow" w:hAnsi="Arial Narrow"/>
                <w:color w:val="1F1F1F"/>
              </w:rPr>
            </w:pPr>
            <w:r w:rsidRPr="000324EA">
              <w:rPr>
                <w:rFonts w:ascii="Arial Narrow" w:hAnsi="Arial Narrow"/>
                <w:color w:val="1F1F1F"/>
              </w:rPr>
              <w:t>Emergency response zones during festivals</w:t>
            </w:r>
          </w:p>
        </w:tc>
      </w:tr>
      <w:tr w:rsidR="001D3218" w:rsidRPr="000324EA" w14:paraId="4A802038" w14:textId="77777777" w:rsidTr="00B660E3">
        <w:trPr>
          <w:trHeight w:val="310"/>
        </w:trPr>
        <w:tc>
          <w:tcPr>
            <w:tcW w:w="4770" w:type="dxa"/>
            <w:tcBorders>
              <w:top w:val="nil"/>
              <w:left w:val="single" w:sz="4" w:space="0" w:color="auto"/>
              <w:bottom w:val="single" w:sz="4" w:space="0" w:color="auto"/>
              <w:right w:val="single" w:sz="4" w:space="0" w:color="auto"/>
            </w:tcBorders>
            <w:noWrap/>
            <w:vAlign w:val="center"/>
            <w:hideMark/>
          </w:tcPr>
          <w:p w14:paraId="754EA612" w14:textId="77777777" w:rsidR="001D3218" w:rsidRPr="000324EA" w:rsidRDefault="001D3218" w:rsidP="00B660E3">
            <w:pPr>
              <w:jc w:val="both"/>
              <w:rPr>
                <w:rFonts w:ascii="Arial Narrow" w:hAnsi="Arial Narrow"/>
                <w:color w:val="1F1F1F"/>
              </w:rPr>
            </w:pPr>
            <w:r w:rsidRPr="000324EA">
              <w:rPr>
                <w:rFonts w:ascii="Arial Narrow" w:hAnsi="Arial Narrow"/>
                <w:color w:val="1F1F1F"/>
              </w:rPr>
              <w:t>Health outreach points</w:t>
            </w:r>
          </w:p>
        </w:tc>
        <w:tc>
          <w:tcPr>
            <w:tcW w:w="4495" w:type="dxa"/>
            <w:tcBorders>
              <w:top w:val="nil"/>
              <w:left w:val="nil"/>
              <w:bottom w:val="single" w:sz="4" w:space="0" w:color="auto"/>
              <w:right w:val="single" w:sz="4" w:space="0" w:color="auto"/>
            </w:tcBorders>
            <w:noWrap/>
            <w:vAlign w:val="center"/>
            <w:hideMark/>
          </w:tcPr>
          <w:p w14:paraId="654606CF" w14:textId="77777777" w:rsidR="001D3218" w:rsidRPr="000324EA" w:rsidRDefault="001D3218" w:rsidP="00B660E3">
            <w:pPr>
              <w:jc w:val="both"/>
              <w:rPr>
                <w:rFonts w:ascii="Arial Narrow" w:hAnsi="Arial Narrow"/>
                <w:color w:val="1F1F1F"/>
              </w:rPr>
            </w:pPr>
            <w:r w:rsidRPr="000324EA">
              <w:rPr>
                <w:rFonts w:ascii="Arial Narrow" w:hAnsi="Arial Narrow"/>
                <w:color w:val="1F1F1F"/>
              </w:rPr>
              <w:t>Ward wise vulnerability ranking</w:t>
            </w:r>
          </w:p>
        </w:tc>
      </w:tr>
      <w:tr w:rsidR="001D3218" w:rsidRPr="000324EA" w14:paraId="586B80B4" w14:textId="77777777" w:rsidTr="00B660E3">
        <w:trPr>
          <w:trHeight w:val="310"/>
        </w:trPr>
        <w:tc>
          <w:tcPr>
            <w:tcW w:w="4770" w:type="dxa"/>
            <w:tcBorders>
              <w:top w:val="nil"/>
              <w:left w:val="single" w:sz="4" w:space="0" w:color="auto"/>
              <w:bottom w:val="single" w:sz="4" w:space="0" w:color="auto"/>
              <w:right w:val="single" w:sz="4" w:space="0" w:color="auto"/>
            </w:tcBorders>
            <w:noWrap/>
            <w:vAlign w:val="center"/>
            <w:hideMark/>
          </w:tcPr>
          <w:p w14:paraId="3060E933" w14:textId="77777777" w:rsidR="001D3218" w:rsidRPr="000324EA" w:rsidRDefault="001D3218" w:rsidP="00B660E3">
            <w:pPr>
              <w:jc w:val="both"/>
              <w:rPr>
                <w:rFonts w:ascii="Arial Narrow" w:hAnsi="Arial Narrow"/>
                <w:color w:val="1F1F1F"/>
              </w:rPr>
            </w:pPr>
            <w:r w:rsidRPr="000324EA">
              <w:rPr>
                <w:rFonts w:ascii="Arial Narrow" w:hAnsi="Arial Narrow"/>
                <w:color w:val="1F1F1F"/>
              </w:rPr>
              <w:t>Disease outbreak hotspots</w:t>
            </w:r>
          </w:p>
        </w:tc>
        <w:tc>
          <w:tcPr>
            <w:tcW w:w="4495" w:type="dxa"/>
            <w:tcBorders>
              <w:top w:val="nil"/>
              <w:left w:val="nil"/>
              <w:bottom w:val="single" w:sz="4" w:space="0" w:color="auto"/>
              <w:right w:val="single" w:sz="4" w:space="0" w:color="auto"/>
            </w:tcBorders>
            <w:noWrap/>
            <w:vAlign w:val="center"/>
            <w:hideMark/>
          </w:tcPr>
          <w:p w14:paraId="10DF0FBD" w14:textId="77777777" w:rsidR="001D3218" w:rsidRPr="000324EA" w:rsidRDefault="001D3218" w:rsidP="00B660E3">
            <w:pPr>
              <w:jc w:val="both"/>
              <w:rPr>
                <w:rFonts w:ascii="Arial Narrow" w:hAnsi="Arial Narrow"/>
                <w:color w:val="1F1F1F"/>
              </w:rPr>
            </w:pPr>
            <w:r w:rsidRPr="000324EA">
              <w:rPr>
                <w:rFonts w:ascii="Arial Narrow" w:hAnsi="Arial Narrow"/>
                <w:color w:val="1F1F1F"/>
              </w:rPr>
              <w:t>Health facility risk overlay (flood/cyclone impact)</w:t>
            </w:r>
          </w:p>
        </w:tc>
      </w:tr>
      <w:tr w:rsidR="001D3218" w:rsidRPr="000324EA" w14:paraId="4FDE95C3" w14:textId="77777777" w:rsidTr="00B660E3">
        <w:trPr>
          <w:trHeight w:val="310"/>
        </w:trPr>
        <w:tc>
          <w:tcPr>
            <w:tcW w:w="4770" w:type="dxa"/>
            <w:tcBorders>
              <w:top w:val="nil"/>
              <w:left w:val="single" w:sz="4" w:space="0" w:color="auto"/>
              <w:bottom w:val="single" w:sz="4" w:space="0" w:color="auto"/>
              <w:right w:val="single" w:sz="4" w:space="0" w:color="auto"/>
            </w:tcBorders>
            <w:noWrap/>
            <w:vAlign w:val="center"/>
            <w:hideMark/>
          </w:tcPr>
          <w:p w14:paraId="2F355853" w14:textId="77777777" w:rsidR="001D3218" w:rsidRPr="000324EA" w:rsidRDefault="001D3218" w:rsidP="00B660E3">
            <w:pPr>
              <w:jc w:val="both"/>
              <w:rPr>
                <w:rFonts w:ascii="Arial Narrow" w:hAnsi="Arial Narrow"/>
                <w:color w:val="1F1F1F"/>
              </w:rPr>
            </w:pPr>
            <w:r w:rsidRPr="000324EA">
              <w:rPr>
                <w:rFonts w:ascii="Arial Narrow" w:hAnsi="Arial Narrow"/>
                <w:color w:val="1F1F1F"/>
              </w:rPr>
              <w:t>Vector -borne disease risk zone</w:t>
            </w:r>
          </w:p>
        </w:tc>
        <w:tc>
          <w:tcPr>
            <w:tcW w:w="4495" w:type="dxa"/>
            <w:tcBorders>
              <w:top w:val="nil"/>
              <w:left w:val="nil"/>
              <w:bottom w:val="single" w:sz="4" w:space="0" w:color="auto"/>
              <w:right w:val="single" w:sz="4" w:space="0" w:color="auto"/>
            </w:tcBorders>
            <w:noWrap/>
            <w:vAlign w:val="center"/>
            <w:hideMark/>
          </w:tcPr>
          <w:p w14:paraId="2C8A4750" w14:textId="77777777" w:rsidR="001D3218" w:rsidRPr="000324EA" w:rsidRDefault="001D3218" w:rsidP="00B660E3">
            <w:pPr>
              <w:jc w:val="both"/>
              <w:rPr>
                <w:rFonts w:ascii="Arial Narrow" w:hAnsi="Arial Narrow"/>
                <w:color w:val="1F1F1F"/>
              </w:rPr>
            </w:pPr>
            <w:r w:rsidRPr="000324EA">
              <w:rPr>
                <w:rFonts w:ascii="Arial Narrow" w:hAnsi="Arial Narrow"/>
                <w:color w:val="1F1F1F"/>
              </w:rPr>
              <w:t>Slum settlements</w:t>
            </w:r>
          </w:p>
        </w:tc>
      </w:tr>
      <w:tr w:rsidR="001D3218" w:rsidRPr="000324EA" w14:paraId="031D1C45" w14:textId="77777777" w:rsidTr="00B660E3">
        <w:trPr>
          <w:trHeight w:val="310"/>
        </w:trPr>
        <w:tc>
          <w:tcPr>
            <w:tcW w:w="4770" w:type="dxa"/>
            <w:tcBorders>
              <w:top w:val="nil"/>
              <w:left w:val="single" w:sz="4" w:space="0" w:color="auto"/>
              <w:bottom w:val="single" w:sz="4" w:space="0" w:color="auto"/>
              <w:right w:val="single" w:sz="4" w:space="0" w:color="auto"/>
            </w:tcBorders>
            <w:noWrap/>
            <w:vAlign w:val="center"/>
            <w:hideMark/>
          </w:tcPr>
          <w:p w14:paraId="2924418B" w14:textId="77777777" w:rsidR="001D3218" w:rsidRPr="000324EA" w:rsidRDefault="001D3218" w:rsidP="00B660E3">
            <w:pPr>
              <w:jc w:val="both"/>
              <w:rPr>
                <w:rFonts w:ascii="Arial Narrow" w:hAnsi="Arial Narrow"/>
                <w:color w:val="1F1F1F"/>
              </w:rPr>
            </w:pPr>
            <w:r w:rsidRPr="000324EA">
              <w:rPr>
                <w:rFonts w:ascii="Arial Narrow" w:hAnsi="Arial Narrow"/>
                <w:color w:val="1F1F1F"/>
              </w:rPr>
              <w:t>Water – borne disease risk zone</w:t>
            </w:r>
          </w:p>
        </w:tc>
        <w:tc>
          <w:tcPr>
            <w:tcW w:w="4495" w:type="dxa"/>
            <w:tcBorders>
              <w:top w:val="nil"/>
              <w:left w:val="nil"/>
              <w:bottom w:val="single" w:sz="4" w:space="0" w:color="auto"/>
              <w:right w:val="single" w:sz="4" w:space="0" w:color="auto"/>
            </w:tcBorders>
            <w:shd w:val="clear" w:color="000000" w:fill="747474"/>
            <w:noWrap/>
            <w:vAlign w:val="bottom"/>
            <w:hideMark/>
          </w:tcPr>
          <w:p w14:paraId="6EF333F4" w14:textId="77777777" w:rsidR="001D3218" w:rsidRPr="000324EA" w:rsidRDefault="001D3218" w:rsidP="00B660E3">
            <w:pPr>
              <w:rPr>
                <w:rFonts w:ascii="Aptos Narrow" w:hAnsi="Aptos Narrow"/>
                <w:color w:val="000000"/>
                <w:sz w:val="22"/>
                <w:szCs w:val="22"/>
              </w:rPr>
            </w:pPr>
            <w:r w:rsidRPr="000324EA">
              <w:rPr>
                <w:rFonts w:ascii="Aptos Narrow" w:hAnsi="Aptos Narrow"/>
                <w:color w:val="000000"/>
                <w:sz w:val="22"/>
                <w:szCs w:val="22"/>
              </w:rPr>
              <w:t> </w:t>
            </w:r>
          </w:p>
        </w:tc>
      </w:tr>
    </w:tbl>
    <w:p w14:paraId="0ED223AA" w14:textId="77777777" w:rsidR="001D3218" w:rsidRPr="00266B94" w:rsidRDefault="001D3218" w:rsidP="001D3218">
      <w:pPr>
        <w:pStyle w:val="ListParagraph"/>
        <w:shd w:val="clear" w:color="auto" w:fill="FFFFFF"/>
        <w:autoSpaceDE w:val="0"/>
        <w:autoSpaceDN w:val="0"/>
        <w:spacing w:before="240" w:after="240" w:line="276" w:lineRule="auto"/>
        <w:ind w:left="360"/>
        <w:jc w:val="both"/>
        <w:rPr>
          <w:rFonts w:ascii="Arial Narrow" w:hAnsi="Arial Narrow"/>
          <w:bCs/>
          <w:color w:val="1F1F1F"/>
          <w:sz w:val="10"/>
          <w:szCs w:val="10"/>
        </w:rPr>
      </w:pPr>
    </w:p>
    <w:p w14:paraId="1A520F9B" w14:textId="77777777" w:rsidR="001D3218" w:rsidRPr="001D3218" w:rsidRDefault="001D3218" w:rsidP="001D3218">
      <w:pPr>
        <w:shd w:val="clear" w:color="auto" w:fill="FFFFFF"/>
        <w:autoSpaceDE w:val="0"/>
        <w:autoSpaceDN w:val="0"/>
        <w:spacing w:after="0" w:line="276" w:lineRule="auto"/>
        <w:jc w:val="both"/>
        <w:rPr>
          <w:rFonts w:ascii="Arial Narrow" w:hAnsi="Arial Narrow"/>
          <w:b/>
          <w:color w:val="1F1F1F"/>
        </w:rPr>
      </w:pPr>
      <w:r w:rsidRPr="001D3218">
        <w:rPr>
          <w:rFonts w:ascii="Arial Narrow" w:hAnsi="Arial Narrow"/>
          <w:b/>
          <w:color w:val="1F1F1F"/>
        </w:rPr>
        <w:t xml:space="preserve">Spatial Analysis: </w:t>
      </w:r>
    </w:p>
    <w:p w14:paraId="592D6BCC" w14:textId="77777777" w:rsidR="001D3218" w:rsidRPr="009328A4" w:rsidRDefault="001D3218" w:rsidP="001D3218">
      <w:pPr>
        <w:shd w:val="clear" w:color="auto" w:fill="FFFFFF"/>
        <w:autoSpaceDE w:val="0"/>
        <w:autoSpaceDN w:val="0"/>
        <w:spacing w:line="276" w:lineRule="auto"/>
        <w:ind w:left="360"/>
        <w:jc w:val="both"/>
        <w:rPr>
          <w:rFonts w:ascii="Arial Narrow" w:hAnsi="Arial Narrow"/>
          <w:bCs/>
          <w:color w:val="1F1F1F"/>
        </w:rPr>
      </w:pPr>
      <w:r w:rsidRPr="009328A4">
        <w:rPr>
          <w:rFonts w:ascii="Arial Narrow" w:hAnsi="Arial Narrow"/>
          <w:bCs/>
          <w:color w:val="1F1F1F"/>
        </w:rPr>
        <w:t xml:space="preserve">The </w:t>
      </w:r>
      <w:r>
        <w:rPr>
          <w:rFonts w:ascii="Arial Narrow" w:hAnsi="Arial Narrow"/>
          <w:bCs/>
          <w:color w:val="1F1F1F"/>
        </w:rPr>
        <w:t xml:space="preserve">agency </w:t>
      </w:r>
      <w:r w:rsidRPr="009328A4">
        <w:rPr>
          <w:rFonts w:ascii="Arial Narrow" w:hAnsi="Arial Narrow"/>
          <w:bCs/>
          <w:color w:val="1F1F1F"/>
        </w:rPr>
        <w:t>shall undertake spatial analyses to support evidence-based planning and implementation of urban health interventions under the City Health Action Plan (CHAP). The key analytical activities shall include:</w:t>
      </w:r>
    </w:p>
    <w:p w14:paraId="3E8D5DAE" w14:textId="77777777" w:rsidR="001D3218" w:rsidRPr="009328A4" w:rsidRDefault="001D3218" w:rsidP="001D3218">
      <w:pPr>
        <w:numPr>
          <w:ilvl w:val="0"/>
          <w:numId w:val="3"/>
        </w:numPr>
        <w:shd w:val="clear" w:color="auto" w:fill="FFFFFF"/>
        <w:autoSpaceDE w:val="0"/>
        <w:autoSpaceDN w:val="0"/>
        <w:spacing w:after="0" w:line="276" w:lineRule="auto"/>
        <w:jc w:val="both"/>
        <w:rPr>
          <w:rFonts w:ascii="Arial Narrow" w:hAnsi="Arial Narrow"/>
          <w:bCs/>
          <w:color w:val="1F1F1F"/>
        </w:rPr>
      </w:pPr>
      <w:r w:rsidRPr="009328A4">
        <w:rPr>
          <w:rFonts w:ascii="Arial Narrow" w:hAnsi="Arial Narrow"/>
          <w:bCs/>
          <w:color w:val="1F1F1F"/>
        </w:rPr>
        <w:t>Analysis of population density in relation to public and private health facilities, UHND session sites, and health outreach points to identify service coverage gaps and areas requiring enhanced outreach and immunization services</w:t>
      </w:r>
    </w:p>
    <w:p w14:paraId="504FBD9E" w14:textId="77777777" w:rsidR="001D3218" w:rsidRPr="009328A4" w:rsidRDefault="001D3218" w:rsidP="001D3218">
      <w:pPr>
        <w:numPr>
          <w:ilvl w:val="0"/>
          <w:numId w:val="3"/>
        </w:numPr>
        <w:shd w:val="clear" w:color="auto" w:fill="FFFFFF"/>
        <w:autoSpaceDE w:val="0"/>
        <w:autoSpaceDN w:val="0"/>
        <w:spacing w:after="0" w:line="276" w:lineRule="auto"/>
        <w:jc w:val="both"/>
        <w:rPr>
          <w:rFonts w:ascii="Arial Narrow" w:hAnsi="Arial Narrow"/>
          <w:bCs/>
          <w:color w:val="1F1F1F"/>
        </w:rPr>
      </w:pPr>
      <w:r w:rsidRPr="009328A4">
        <w:rPr>
          <w:rFonts w:ascii="Arial Narrow" w:hAnsi="Arial Narrow"/>
          <w:bCs/>
          <w:color w:val="1F1F1F"/>
        </w:rPr>
        <w:lastRenderedPageBreak/>
        <w:t>Hotspot analysis of disease outbreak locations, vector-borne disease risk zones, and water-borne disease risk zones to identify high-burden and high-risk areas for targeted preparedness and response</w:t>
      </w:r>
    </w:p>
    <w:p w14:paraId="1E2A3556" w14:textId="77777777" w:rsidR="001D3218" w:rsidRPr="009328A4" w:rsidRDefault="001D3218" w:rsidP="001D3218">
      <w:pPr>
        <w:numPr>
          <w:ilvl w:val="0"/>
          <w:numId w:val="3"/>
        </w:numPr>
        <w:shd w:val="clear" w:color="auto" w:fill="FFFFFF"/>
        <w:autoSpaceDE w:val="0"/>
        <w:autoSpaceDN w:val="0"/>
        <w:spacing w:after="0" w:line="276" w:lineRule="auto"/>
        <w:jc w:val="both"/>
        <w:rPr>
          <w:rFonts w:ascii="Arial Narrow" w:hAnsi="Arial Narrow"/>
          <w:bCs/>
          <w:color w:val="1F1F1F"/>
        </w:rPr>
      </w:pPr>
      <w:r w:rsidRPr="009328A4">
        <w:rPr>
          <w:rFonts w:ascii="Arial Narrow" w:hAnsi="Arial Narrow"/>
          <w:bCs/>
          <w:color w:val="1F1F1F"/>
        </w:rPr>
        <w:t>Proximity and buffer analysis using road network data to assess accessibility of health facilities, emergency response zones, temporary health facilities during festivals, and shelters (cyclone and flood shelters) to support:</w:t>
      </w:r>
    </w:p>
    <w:p w14:paraId="544CDD09" w14:textId="77777777" w:rsidR="001D3218" w:rsidRPr="009328A4" w:rsidRDefault="001D3218" w:rsidP="001D3218">
      <w:pPr>
        <w:numPr>
          <w:ilvl w:val="1"/>
          <w:numId w:val="3"/>
        </w:numPr>
        <w:shd w:val="clear" w:color="auto" w:fill="FFFFFF"/>
        <w:autoSpaceDE w:val="0"/>
        <w:autoSpaceDN w:val="0"/>
        <w:spacing w:after="0" w:line="276" w:lineRule="auto"/>
        <w:jc w:val="both"/>
        <w:rPr>
          <w:rFonts w:ascii="Arial Narrow" w:hAnsi="Arial Narrow"/>
          <w:bCs/>
          <w:color w:val="1F1F1F"/>
        </w:rPr>
      </w:pPr>
      <w:r w:rsidRPr="009328A4">
        <w:rPr>
          <w:rFonts w:ascii="Arial Narrow" w:hAnsi="Arial Narrow"/>
          <w:bCs/>
          <w:color w:val="1F1F1F"/>
        </w:rPr>
        <w:t>Optimization of outreach service planning</w:t>
      </w:r>
    </w:p>
    <w:p w14:paraId="23C89656" w14:textId="77777777" w:rsidR="001D3218" w:rsidRPr="009328A4" w:rsidRDefault="001D3218" w:rsidP="001D3218">
      <w:pPr>
        <w:numPr>
          <w:ilvl w:val="1"/>
          <w:numId w:val="3"/>
        </w:numPr>
        <w:shd w:val="clear" w:color="auto" w:fill="FFFFFF"/>
        <w:autoSpaceDE w:val="0"/>
        <w:autoSpaceDN w:val="0"/>
        <w:spacing w:after="0" w:line="276" w:lineRule="auto"/>
        <w:jc w:val="both"/>
        <w:rPr>
          <w:rFonts w:ascii="Arial Narrow" w:hAnsi="Arial Narrow"/>
          <w:bCs/>
          <w:color w:val="1F1F1F"/>
        </w:rPr>
      </w:pPr>
      <w:r w:rsidRPr="009328A4">
        <w:rPr>
          <w:rFonts w:ascii="Arial Narrow" w:hAnsi="Arial Narrow"/>
          <w:bCs/>
          <w:color w:val="1F1F1F"/>
        </w:rPr>
        <w:t>Emergency response preparedness during festivals and disasters</w:t>
      </w:r>
    </w:p>
    <w:p w14:paraId="613C2294" w14:textId="77777777" w:rsidR="001D3218" w:rsidRPr="009328A4" w:rsidRDefault="001D3218" w:rsidP="001D3218">
      <w:pPr>
        <w:numPr>
          <w:ilvl w:val="1"/>
          <w:numId w:val="3"/>
        </w:numPr>
        <w:shd w:val="clear" w:color="auto" w:fill="FFFFFF"/>
        <w:autoSpaceDE w:val="0"/>
        <w:autoSpaceDN w:val="0"/>
        <w:spacing w:after="0" w:line="276" w:lineRule="auto"/>
        <w:jc w:val="both"/>
        <w:rPr>
          <w:rFonts w:ascii="Arial Narrow" w:hAnsi="Arial Narrow"/>
          <w:bCs/>
          <w:color w:val="1F1F1F"/>
        </w:rPr>
      </w:pPr>
      <w:r w:rsidRPr="009328A4">
        <w:rPr>
          <w:rFonts w:ascii="Arial Narrow" w:hAnsi="Arial Narrow"/>
          <w:bCs/>
          <w:color w:val="1F1F1F"/>
        </w:rPr>
        <w:t>Planning and strengthening of health service coverage in underserved areas</w:t>
      </w:r>
    </w:p>
    <w:p w14:paraId="5B077097" w14:textId="77777777" w:rsidR="001D3218" w:rsidRPr="009328A4" w:rsidRDefault="001D3218" w:rsidP="001D3218">
      <w:pPr>
        <w:numPr>
          <w:ilvl w:val="0"/>
          <w:numId w:val="3"/>
        </w:numPr>
        <w:shd w:val="clear" w:color="auto" w:fill="FFFFFF"/>
        <w:autoSpaceDE w:val="0"/>
        <w:autoSpaceDN w:val="0"/>
        <w:spacing w:after="0" w:line="276" w:lineRule="auto"/>
        <w:jc w:val="both"/>
        <w:rPr>
          <w:rFonts w:ascii="Arial Narrow" w:hAnsi="Arial Narrow"/>
          <w:bCs/>
          <w:color w:val="1F1F1F"/>
        </w:rPr>
      </w:pPr>
      <w:r w:rsidRPr="009328A4">
        <w:rPr>
          <w:rFonts w:ascii="Arial Narrow" w:hAnsi="Arial Narrow"/>
          <w:bCs/>
          <w:color w:val="1F1F1F"/>
        </w:rPr>
        <w:t>Overlay analysis of population density, slum settlements, vulnerability ranking, and health facility risk layers to identify priority wards for CHAP interventions</w:t>
      </w:r>
    </w:p>
    <w:p w14:paraId="38CE5BA0" w14:textId="77777777" w:rsidR="001D3218" w:rsidRDefault="001D3218" w:rsidP="001D3218">
      <w:pPr>
        <w:shd w:val="clear" w:color="auto" w:fill="FFFFFF"/>
        <w:autoSpaceDE w:val="0"/>
        <w:autoSpaceDN w:val="0"/>
        <w:spacing w:line="276" w:lineRule="auto"/>
        <w:ind w:left="360"/>
        <w:jc w:val="both"/>
        <w:rPr>
          <w:rFonts w:ascii="Arial Narrow" w:hAnsi="Arial Narrow"/>
          <w:b/>
          <w:color w:val="1F1F1F"/>
        </w:rPr>
      </w:pPr>
    </w:p>
    <w:p w14:paraId="5E7DD971" w14:textId="0A09E622" w:rsidR="001D3218" w:rsidRPr="001D3218" w:rsidRDefault="001D3218" w:rsidP="001D3218">
      <w:pPr>
        <w:shd w:val="clear" w:color="auto" w:fill="FFFFFF"/>
        <w:autoSpaceDE w:val="0"/>
        <w:autoSpaceDN w:val="0"/>
        <w:spacing w:line="276" w:lineRule="auto"/>
        <w:ind w:left="360"/>
        <w:jc w:val="both"/>
        <w:rPr>
          <w:rFonts w:ascii="Arial Narrow" w:hAnsi="Arial Narrow"/>
          <w:b/>
          <w:color w:val="1F1F1F"/>
        </w:rPr>
      </w:pPr>
      <w:r w:rsidRPr="001D3218">
        <w:rPr>
          <w:rFonts w:ascii="Arial Narrow" w:hAnsi="Arial Narrow"/>
          <w:b/>
          <w:color w:val="1F1F1F"/>
        </w:rPr>
        <w:t>Expected Outcome</w:t>
      </w:r>
    </w:p>
    <w:p w14:paraId="1D0BB485" w14:textId="77777777" w:rsidR="001D3218" w:rsidRPr="001D3218" w:rsidRDefault="001D3218" w:rsidP="001D3218">
      <w:pPr>
        <w:pStyle w:val="ListParagraph"/>
        <w:numPr>
          <w:ilvl w:val="0"/>
          <w:numId w:val="3"/>
        </w:numPr>
        <w:shd w:val="clear" w:color="auto" w:fill="FFFFFF"/>
        <w:autoSpaceDE w:val="0"/>
        <w:autoSpaceDN w:val="0"/>
        <w:spacing w:line="276" w:lineRule="auto"/>
        <w:jc w:val="both"/>
        <w:rPr>
          <w:rFonts w:ascii="Arial Narrow" w:hAnsi="Arial Narrow"/>
          <w:bCs/>
          <w:color w:val="1F1F1F"/>
        </w:rPr>
      </w:pPr>
      <w:r w:rsidRPr="001D3218">
        <w:rPr>
          <w:rFonts w:ascii="Arial Narrow" w:hAnsi="Arial Narrow"/>
          <w:bCs/>
          <w:color w:val="1F1F1F"/>
        </w:rPr>
        <w:t>A comprehensive, updated, and sustainable GIS-Urban Health database for Puri city and a map repository that supports routine health planning, mass gathering preparedness, outbreak response, and disaster risk management for Puri city.</w:t>
      </w:r>
      <w:r w:rsidRPr="001D3218">
        <w:rPr>
          <w:rFonts w:ascii="Arial Narrow" w:hAnsi="Arial Narrow"/>
          <w:bCs/>
          <w:vanish/>
          <w:color w:val="1F1F1F"/>
        </w:rPr>
        <w:t>Top of Form</w:t>
      </w:r>
    </w:p>
    <w:p w14:paraId="65EDF8C3" w14:textId="77777777" w:rsidR="001D3218" w:rsidRDefault="001D3218"/>
    <w:sectPr w:rsidR="001D32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670AEC"/>
    <w:multiLevelType w:val="multilevel"/>
    <w:tmpl w:val="CCBA9134"/>
    <w:lvl w:ilvl="0">
      <w:start w:val="1"/>
      <w:numFmt w:val="decimal"/>
      <w:lvlText w:val="%1."/>
      <w:lvlJc w:val="left"/>
      <w:pPr>
        <w:ind w:left="360" w:hanging="360"/>
      </w:pPr>
      <w:rPr>
        <w:rFonts w:hint="default"/>
        <w:b/>
        <w:bCs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520" w:hanging="1080"/>
      </w:pPr>
      <w:rPr>
        <w:rFonts w:hint="default"/>
        <w:b w:val="0"/>
      </w:rPr>
    </w:lvl>
    <w:lvl w:ilvl="5">
      <w:start w:val="1"/>
      <w:numFmt w:val="decimal"/>
      <w:isLgl/>
      <w:lvlText w:val="%1.%2.%3.%4.%5.%6."/>
      <w:lvlJc w:val="left"/>
      <w:pPr>
        <w:ind w:left="2880" w:hanging="1080"/>
      </w:pPr>
      <w:rPr>
        <w:rFonts w:hint="default"/>
        <w:b w:val="0"/>
      </w:rPr>
    </w:lvl>
    <w:lvl w:ilvl="6">
      <w:start w:val="1"/>
      <w:numFmt w:val="decimal"/>
      <w:isLgl/>
      <w:lvlText w:val="%1.%2.%3.%4.%5.%6.%7."/>
      <w:lvlJc w:val="left"/>
      <w:pPr>
        <w:ind w:left="3600" w:hanging="1440"/>
      </w:pPr>
      <w:rPr>
        <w:rFonts w:hint="default"/>
        <w:b w:val="0"/>
      </w:rPr>
    </w:lvl>
    <w:lvl w:ilvl="7">
      <w:start w:val="1"/>
      <w:numFmt w:val="decimal"/>
      <w:isLgl/>
      <w:lvlText w:val="%1.%2.%3.%4.%5.%6.%7.%8."/>
      <w:lvlJc w:val="left"/>
      <w:pPr>
        <w:ind w:left="3960" w:hanging="1440"/>
      </w:pPr>
      <w:rPr>
        <w:rFonts w:hint="default"/>
        <w:b w:val="0"/>
      </w:rPr>
    </w:lvl>
    <w:lvl w:ilvl="8">
      <w:start w:val="1"/>
      <w:numFmt w:val="decimal"/>
      <w:isLgl/>
      <w:lvlText w:val="%1.%2.%3.%4.%5.%6.%7.%8.%9."/>
      <w:lvlJc w:val="left"/>
      <w:pPr>
        <w:ind w:left="4680" w:hanging="1800"/>
      </w:pPr>
      <w:rPr>
        <w:rFonts w:hint="default"/>
        <w:b w:val="0"/>
      </w:rPr>
    </w:lvl>
  </w:abstractNum>
  <w:abstractNum w:abstractNumId="1" w15:restartNumberingAfterBreak="0">
    <w:nsid w:val="552242A6"/>
    <w:multiLevelType w:val="hybridMultilevel"/>
    <w:tmpl w:val="12C0B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213A42"/>
    <w:multiLevelType w:val="multilevel"/>
    <w:tmpl w:val="2354A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4678746">
    <w:abstractNumId w:val="0"/>
  </w:num>
  <w:num w:numId="2" w16cid:durableId="927269936">
    <w:abstractNumId w:val="1"/>
  </w:num>
  <w:num w:numId="3" w16cid:durableId="11517517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218"/>
    <w:rsid w:val="00134696"/>
    <w:rsid w:val="001D3218"/>
    <w:rsid w:val="003D75FD"/>
    <w:rsid w:val="0053015C"/>
    <w:rsid w:val="00547651"/>
    <w:rsid w:val="0058282D"/>
    <w:rsid w:val="006D5ECE"/>
    <w:rsid w:val="00A64012"/>
    <w:rsid w:val="00CE72B2"/>
    <w:rsid w:val="00E71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F69B1"/>
  <w15:chartTrackingRefBased/>
  <w15:docId w15:val="{8A6BDF74-2E09-41A5-B420-59A1360CE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32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32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321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321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321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32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32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32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32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2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32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32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32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32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32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32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32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3218"/>
    <w:rPr>
      <w:rFonts w:eastAsiaTheme="majorEastAsia" w:cstheme="majorBidi"/>
      <w:color w:val="272727" w:themeColor="text1" w:themeTint="D8"/>
    </w:rPr>
  </w:style>
  <w:style w:type="paragraph" w:styleId="Title">
    <w:name w:val="Title"/>
    <w:basedOn w:val="Normal"/>
    <w:next w:val="Normal"/>
    <w:link w:val="TitleChar"/>
    <w:uiPriority w:val="10"/>
    <w:qFormat/>
    <w:rsid w:val="001D32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32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32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32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3218"/>
    <w:pPr>
      <w:spacing w:before="160"/>
      <w:jc w:val="center"/>
    </w:pPr>
    <w:rPr>
      <w:i/>
      <w:iCs/>
      <w:color w:val="404040" w:themeColor="text1" w:themeTint="BF"/>
    </w:rPr>
  </w:style>
  <w:style w:type="character" w:customStyle="1" w:styleId="QuoteChar">
    <w:name w:val="Quote Char"/>
    <w:basedOn w:val="DefaultParagraphFont"/>
    <w:link w:val="Quote"/>
    <w:uiPriority w:val="29"/>
    <w:rsid w:val="001D3218"/>
    <w:rPr>
      <w:i/>
      <w:iCs/>
      <w:color w:val="404040" w:themeColor="text1" w:themeTint="BF"/>
    </w:rPr>
  </w:style>
  <w:style w:type="paragraph" w:styleId="ListParagraph">
    <w:name w:val="List Paragraph"/>
    <w:basedOn w:val="Normal"/>
    <w:qFormat/>
    <w:rsid w:val="001D3218"/>
    <w:pPr>
      <w:ind w:left="720"/>
      <w:contextualSpacing/>
    </w:pPr>
  </w:style>
  <w:style w:type="character" w:styleId="IntenseEmphasis">
    <w:name w:val="Intense Emphasis"/>
    <w:basedOn w:val="DefaultParagraphFont"/>
    <w:uiPriority w:val="21"/>
    <w:qFormat/>
    <w:rsid w:val="001D3218"/>
    <w:rPr>
      <w:i/>
      <w:iCs/>
      <w:color w:val="2F5496" w:themeColor="accent1" w:themeShade="BF"/>
    </w:rPr>
  </w:style>
  <w:style w:type="paragraph" w:styleId="IntenseQuote">
    <w:name w:val="Intense Quote"/>
    <w:basedOn w:val="Normal"/>
    <w:next w:val="Normal"/>
    <w:link w:val="IntenseQuoteChar"/>
    <w:uiPriority w:val="30"/>
    <w:qFormat/>
    <w:rsid w:val="001D32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3218"/>
    <w:rPr>
      <w:i/>
      <w:iCs/>
      <w:color w:val="2F5496" w:themeColor="accent1" w:themeShade="BF"/>
    </w:rPr>
  </w:style>
  <w:style w:type="character" w:styleId="IntenseReference">
    <w:name w:val="Intense Reference"/>
    <w:basedOn w:val="DefaultParagraphFont"/>
    <w:uiPriority w:val="32"/>
    <w:qFormat/>
    <w:rsid w:val="001D3218"/>
    <w:rPr>
      <w:b/>
      <w:bCs/>
      <w:smallCaps/>
      <w:color w:val="2F5496" w:themeColor="accent1" w:themeShade="BF"/>
      <w:spacing w:val="5"/>
    </w:rPr>
  </w:style>
  <w:style w:type="character" w:customStyle="1" w:styleId="DUPLEX">
    <w:name w:val="DUPLEX"/>
    <w:rsid w:val="001D3218"/>
    <w:rPr>
      <w:rFonts w:ascii="Courier New" w:hAnsi="Courier New"/>
      <w:noProof w:val="0"/>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878</Words>
  <Characters>5011</Characters>
  <Application>Microsoft Office Word</Application>
  <DocSecurity>0</DocSecurity>
  <Lines>41</Lines>
  <Paragraphs>11</Paragraphs>
  <ScaleCrop>false</ScaleCrop>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Ranjan Mallick</dc:creator>
  <cp:keywords/>
  <dc:description/>
  <cp:lastModifiedBy>Ranjan Mallick</cp:lastModifiedBy>
  <cp:revision>2</cp:revision>
  <dcterms:created xsi:type="dcterms:W3CDTF">2026-07-13T12:43:00Z</dcterms:created>
  <dcterms:modified xsi:type="dcterms:W3CDTF">2026-07-13T12:43:00Z</dcterms:modified>
</cp:coreProperties>
</file>